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3A0076A9" w:rsidR="00A7086E" w:rsidRPr="005802D7" w:rsidRDefault="00A7086E" w:rsidP="005802D7">
      <w:pPr>
        <w:rPr>
          <w:rFonts w:ascii="Arial" w:hAnsi="Arial" w:cs="Arial"/>
          <w:b/>
          <w:bCs/>
          <w:sz w:val="24"/>
          <w:szCs w:val="24"/>
        </w:rPr>
      </w:pPr>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76F29CC4" w:rsidR="00E73829" w:rsidRPr="005802D7"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C718E2">
        <w:rPr>
          <w:rStyle w:val="Hyperlink"/>
          <w:rFonts w:ascii="Arial" w:hAnsi="Arial" w:cs="Arial"/>
          <w:sz w:val="24"/>
          <w:szCs w:val="24"/>
        </w:rPr>
        <w:t>.</w:t>
      </w:r>
      <w:r w:rsidRPr="005802D7">
        <w:rPr>
          <w:rFonts w:ascii="Arial" w:hAnsi="Arial" w:cs="Arial"/>
          <w:sz w:val="24"/>
          <w:szCs w:val="24"/>
        </w:rPr>
        <w:t xml:space="preserve"> </w:t>
      </w:r>
      <w:r w:rsidR="00C718E2">
        <w:rPr>
          <w:rFonts w:ascii="Arial" w:hAnsi="Arial" w:cs="Arial"/>
          <w:sz w:val="24"/>
          <w:szCs w:val="24"/>
        </w:rPr>
        <w:t xml:space="preserve"> </w:t>
      </w:r>
      <w:r w:rsidR="00C718E2">
        <w:rPr>
          <w:rStyle w:val="normaltextrun"/>
          <w:rFonts w:ascii="Arial" w:hAnsi="Arial" w:cs="Arial"/>
          <w:color w:val="000000"/>
          <w:shd w:val="clear" w:color="auto" w:fill="FFFFFF"/>
        </w:rPr>
        <w:t>If you have questions, please contact your regional center HCBS Program Evaluator. </w:t>
      </w:r>
      <w:r w:rsidR="00C718E2">
        <w:rPr>
          <w:rStyle w:val="eop"/>
          <w:rFonts w:ascii="Arial" w:hAnsi="Arial" w:cs="Arial"/>
          <w:color w:val="000000"/>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3277129" w14:textId="1D999264" w:rsidR="00D172D8" w:rsidRPr="00D172D8" w:rsidRDefault="00D172D8"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Providers must complete a separate form for each service, each vendored program, which they operate.</w:t>
      </w:r>
    </w:p>
    <w:p w14:paraId="5F2179CA" w14:textId="02BF6236" w:rsidR="005802D7" w:rsidRPr="005802D7" w:rsidRDefault="00AD5185"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6030B84C" w:rsidR="00A7086E" w:rsidRDefault="00AD5185"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0"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0"/>
    </w:p>
    <w:p w14:paraId="0B8FA377" w14:textId="02A5632C" w:rsidR="00E34572" w:rsidRDefault="00AD5185"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2ED7E78"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FF9A02A" w14:textId="77777777" w:rsidR="00E34572" w:rsidRDefault="00E34572" w:rsidP="00A7086E">
            <w:pPr>
              <w:rPr>
                <w:rFonts w:ascii="Arial" w:hAnsi="Arial" w:cs="Arial"/>
                <w:sz w:val="24"/>
                <w:szCs w:val="24"/>
              </w:rPr>
            </w:pPr>
          </w:p>
          <w:p w14:paraId="7C687B5B" w14:textId="77777777" w:rsidR="00A26FC0" w:rsidRDefault="00A26FC0" w:rsidP="00A7086E">
            <w:pPr>
              <w:rPr>
                <w:rFonts w:ascii="Arial" w:hAnsi="Arial" w:cs="Arial"/>
                <w:sz w:val="24"/>
                <w:szCs w:val="24"/>
              </w:rPr>
            </w:pPr>
          </w:p>
          <w:p w14:paraId="7778CCD2" w14:textId="76823642" w:rsidR="00A26FC0" w:rsidRDefault="00A26FC0"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1" w:name="_Hlk101356755"/>
    <w:p w14:paraId="64B5923D" w14:textId="29BFC7E9" w:rsidR="00E34572" w:rsidRDefault="00AD5185"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6E5F7E">
        <w:rPr>
          <w:rFonts w:ascii="Arial" w:eastAsia="MS Gothic" w:hAnsi="Arial" w:cs="Arial"/>
          <w:sz w:val="24"/>
          <w:szCs w:val="24"/>
        </w:rPr>
        <w:t xml:space="preserve">summary of </w:t>
      </w:r>
      <w:r w:rsidR="00CC450B">
        <w:rPr>
          <w:rFonts w:ascii="Arial" w:eastAsia="MS Gothic" w:hAnsi="Arial" w:cs="Arial"/>
          <w:sz w:val="24"/>
          <w:szCs w:val="24"/>
        </w:rPr>
        <w:t xml:space="preserve">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2D5DE67C" w:rsidR="00E34572" w:rsidRDefault="00AD5185"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44EE4268" w14:textId="62A5B87D" w:rsidR="00E34572" w:rsidRDefault="00E34572" w:rsidP="00F04427">
            <w:pPr>
              <w:rPr>
                <w:rFonts w:ascii="Arial" w:hAnsi="Arial" w:cs="Arial"/>
                <w:sz w:val="24"/>
                <w:szCs w:val="24"/>
              </w:rPr>
            </w:pPr>
            <w:r>
              <w:rPr>
                <w:rFonts w:ascii="Arial" w:hAnsi="Arial" w:cs="Arial"/>
                <w:sz w:val="24"/>
                <w:szCs w:val="24"/>
              </w:rPr>
              <w:t xml:space="preserve">(Provide </w:t>
            </w:r>
            <w:r w:rsidR="0011596A">
              <w:rPr>
                <w:rFonts w:ascii="Arial" w:hAnsi="Arial" w:cs="Arial"/>
                <w:sz w:val="24"/>
                <w:szCs w:val="24"/>
              </w:rPr>
              <w:t xml:space="preserve">either </w:t>
            </w:r>
            <w:r w:rsidR="001945BD">
              <w:rPr>
                <w:rFonts w:ascii="Arial" w:hAnsi="Arial" w:cs="Arial"/>
                <w:sz w:val="24"/>
                <w:szCs w:val="24"/>
              </w:rPr>
              <w:t xml:space="preserve">a </w:t>
            </w:r>
            <w:r w:rsidR="004573EE" w:rsidRPr="009E22E9">
              <w:rPr>
                <w:rFonts w:ascii="Arial" w:hAnsi="Arial" w:cs="Arial"/>
                <w:sz w:val="24"/>
                <w:szCs w:val="24"/>
              </w:rPr>
              <w:t>plan to meet compliance</w:t>
            </w:r>
            <w:r w:rsidR="000602B1">
              <w:rPr>
                <w:rFonts w:ascii="Arial" w:hAnsi="Arial" w:cs="Arial"/>
                <w:sz w:val="24"/>
                <w:szCs w:val="24"/>
              </w:rPr>
              <w:t xml:space="preserve"> for </w:t>
            </w:r>
            <w:r w:rsidR="001945BD">
              <w:rPr>
                <w:rFonts w:ascii="Arial" w:hAnsi="Arial" w:cs="Arial"/>
                <w:sz w:val="24"/>
                <w:szCs w:val="24"/>
              </w:rPr>
              <w:t>this requirement</w:t>
            </w:r>
            <w:r>
              <w:rPr>
                <w:rFonts w:ascii="Arial" w:hAnsi="Arial" w:cs="Arial"/>
                <w:sz w:val="24"/>
                <w:szCs w:val="24"/>
              </w:rPr>
              <w:t xml:space="preserve"> </w:t>
            </w:r>
            <w:r w:rsidR="001945BD">
              <w:rPr>
                <w:rFonts w:ascii="Arial" w:hAnsi="Arial" w:cs="Arial"/>
                <w:sz w:val="24"/>
                <w:szCs w:val="24"/>
              </w:rPr>
              <w:t>OR</w:t>
            </w:r>
            <w:r w:rsidR="00305AEB">
              <w:rPr>
                <w:rFonts w:ascii="Arial" w:hAnsi="Arial" w:cs="Arial"/>
                <w:sz w:val="24"/>
                <w:szCs w:val="24"/>
              </w:rPr>
              <w:t xml:space="preserve"> </w:t>
            </w:r>
            <w:r w:rsidR="001945BD">
              <w:rPr>
                <w:rFonts w:ascii="Arial" w:hAnsi="Arial" w:cs="Arial"/>
                <w:sz w:val="24"/>
                <w:szCs w:val="24"/>
              </w:rPr>
              <w:t xml:space="preserve">a </w:t>
            </w:r>
            <w:r w:rsidR="000B027E">
              <w:rPr>
                <w:rFonts w:ascii="Arial" w:hAnsi="Arial" w:cs="Arial"/>
                <w:sz w:val="24"/>
                <w:szCs w:val="24"/>
              </w:rPr>
              <w:t>summary of</w:t>
            </w:r>
            <w:r w:rsidR="00CC450B">
              <w:rPr>
                <w:rFonts w:ascii="Arial" w:hAnsi="Arial" w:cs="Arial"/>
                <w:sz w:val="24"/>
                <w:szCs w:val="24"/>
              </w:rPr>
              <w:t xml:space="preserve"> attached documents and </w:t>
            </w:r>
            <w:r w:rsidR="003A1CB6">
              <w:rPr>
                <w:rFonts w:ascii="Arial" w:hAnsi="Arial" w:cs="Arial"/>
                <w:sz w:val="24"/>
                <w:szCs w:val="24"/>
              </w:rPr>
              <w:t xml:space="preserve">how </w:t>
            </w:r>
            <w:r w:rsidR="009E22E9">
              <w:rPr>
                <w:rFonts w:ascii="Arial" w:hAnsi="Arial" w:cs="Arial"/>
                <w:sz w:val="24"/>
                <w:szCs w:val="24"/>
              </w:rPr>
              <w:t xml:space="preserve">compliance </w:t>
            </w:r>
            <w:r w:rsidR="003A1CB6">
              <w:rPr>
                <w:rFonts w:ascii="Arial" w:hAnsi="Arial" w:cs="Arial"/>
                <w:sz w:val="24"/>
                <w:szCs w:val="24"/>
              </w:rPr>
              <w:t xml:space="preserve">is achieved for this requirement </w:t>
            </w:r>
            <w:r>
              <w:rPr>
                <w:rFonts w:ascii="Arial" w:hAnsi="Arial" w:cs="Arial"/>
                <w:sz w:val="24"/>
                <w:szCs w:val="24"/>
              </w:rPr>
              <w:t>here)</w:t>
            </w:r>
          </w:p>
          <w:p w14:paraId="6FECF3DF" w14:textId="77777777" w:rsidR="003A1CB6" w:rsidRDefault="003A1CB6" w:rsidP="00F04427">
            <w:pPr>
              <w:rPr>
                <w:rFonts w:ascii="Arial" w:hAnsi="Arial" w:cs="Arial"/>
                <w:sz w:val="24"/>
                <w:szCs w:val="24"/>
              </w:rPr>
            </w:pPr>
          </w:p>
          <w:p w14:paraId="7B4BA4E6" w14:textId="77777777" w:rsidR="003A1CB6" w:rsidRDefault="003A1CB6" w:rsidP="00F04427">
            <w:pPr>
              <w:rPr>
                <w:rFonts w:ascii="Arial" w:hAnsi="Arial" w:cs="Arial"/>
                <w:sz w:val="24"/>
                <w:szCs w:val="24"/>
              </w:rPr>
            </w:pPr>
          </w:p>
          <w:p w14:paraId="46D7CE7A" w14:textId="7054ABB1" w:rsidR="003A1CB6" w:rsidRDefault="003A1CB6" w:rsidP="00F04427">
            <w:pPr>
              <w:rPr>
                <w:rFonts w:ascii="Arial" w:hAnsi="Arial" w:cs="Arial"/>
                <w:sz w:val="24"/>
                <w:szCs w:val="24"/>
              </w:rPr>
            </w:pPr>
          </w:p>
        </w:tc>
      </w:tr>
      <w:bookmarkEnd w:id="1"/>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481B179F" w:rsidR="00E34572" w:rsidRDefault="00AD5185"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759B1313" w:rsidR="00E34572" w:rsidRDefault="00AD5185"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31B813EB"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8807BFC" w14:textId="77777777" w:rsidR="00E34572" w:rsidRDefault="00E34572" w:rsidP="00F04427">
            <w:pPr>
              <w:rPr>
                <w:rFonts w:ascii="Arial" w:hAnsi="Arial" w:cs="Arial"/>
                <w:sz w:val="24"/>
                <w:szCs w:val="24"/>
              </w:rPr>
            </w:pPr>
          </w:p>
          <w:p w14:paraId="6977066C" w14:textId="77777777" w:rsidR="00A26FC0" w:rsidRDefault="00A26FC0" w:rsidP="00F04427">
            <w:pPr>
              <w:rPr>
                <w:rFonts w:ascii="Arial" w:hAnsi="Arial" w:cs="Arial"/>
                <w:sz w:val="24"/>
                <w:szCs w:val="24"/>
              </w:rPr>
            </w:pPr>
          </w:p>
          <w:p w14:paraId="1913CC71" w14:textId="6421383A" w:rsidR="00A26FC0" w:rsidRDefault="00A26FC0"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B3E9289" w14:textId="52660AB3" w:rsidR="00E34572" w:rsidRDefault="00AD5185"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2F069FBB" w:rsidR="00E34572" w:rsidRDefault="00AD5185"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541D3243"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0D21E24" w14:textId="77777777" w:rsidR="00E34572" w:rsidRDefault="00E34572" w:rsidP="00F04427">
            <w:pPr>
              <w:rPr>
                <w:rFonts w:ascii="Arial" w:hAnsi="Arial" w:cs="Arial"/>
                <w:sz w:val="24"/>
                <w:szCs w:val="24"/>
              </w:rPr>
            </w:pPr>
          </w:p>
          <w:p w14:paraId="31150FA7" w14:textId="77777777" w:rsidR="00A26FC0" w:rsidRDefault="00A26FC0" w:rsidP="00F04427">
            <w:pPr>
              <w:rPr>
                <w:rFonts w:ascii="Arial" w:hAnsi="Arial" w:cs="Arial"/>
                <w:sz w:val="24"/>
                <w:szCs w:val="24"/>
              </w:rPr>
            </w:pPr>
          </w:p>
          <w:p w14:paraId="414132A4" w14:textId="77DB3F37" w:rsidR="00A26FC0" w:rsidRDefault="00A26FC0"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2FB549FF" w:rsidR="00E34572" w:rsidRDefault="00AD5185"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56366501" w:rsidR="00E34572" w:rsidRDefault="00AD5185"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45C5B3F6"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AB3149A" w14:textId="77777777" w:rsidR="00E34572" w:rsidRDefault="00E34572" w:rsidP="00F04427">
            <w:pPr>
              <w:rPr>
                <w:rFonts w:ascii="Arial" w:hAnsi="Arial" w:cs="Arial"/>
                <w:sz w:val="24"/>
                <w:szCs w:val="24"/>
              </w:rPr>
            </w:pPr>
          </w:p>
          <w:p w14:paraId="60D0EB36" w14:textId="77777777" w:rsidR="00A26FC0" w:rsidRDefault="00A26FC0" w:rsidP="00F04427">
            <w:pPr>
              <w:rPr>
                <w:rFonts w:ascii="Arial" w:hAnsi="Arial" w:cs="Arial"/>
                <w:sz w:val="24"/>
                <w:szCs w:val="24"/>
              </w:rPr>
            </w:pPr>
          </w:p>
          <w:p w14:paraId="71FFFFB3" w14:textId="632A1768" w:rsidR="00A26FC0" w:rsidRDefault="00A26FC0"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26FC0">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26FC0">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AD57" w14:textId="77777777" w:rsidR="004C6E6D" w:rsidRDefault="004C6E6D" w:rsidP="00535681">
      <w:pPr>
        <w:spacing w:after="0" w:line="240" w:lineRule="auto"/>
      </w:pPr>
      <w:r>
        <w:separator/>
      </w:r>
    </w:p>
  </w:endnote>
  <w:endnote w:type="continuationSeparator" w:id="0">
    <w:p w14:paraId="25E73A55" w14:textId="77777777" w:rsidR="004C6E6D" w:rsidRDefault="004C6E6D"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5759" w14:textId="77777777" w:rsidR="004C6E6D" w:rsidRDefault="004C6E6D" w:rsidP="00535681">
      <w:pPr>
        <w:spacing w:after="0" w:line="240" w:lineRule="auto"/>
      </w:pPr>
      <w:r>
        <w:separator/>
      </w:r>
    </w:p>
  </w:footnote>
  <w:footnote w:type="continuationSeparator" w:id="0">
    <w:p w14:paraId="336EC0F8" w14:textId="77777777" w:rsidR="004C6E6D" w:rsidRDefault="004C6E6D"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F25" w14:textId="420CA279" w:rsidR="00913B01" w:rsidRPr="0038618A" w:rsidRDefault="0038618A" w:rsidP="00913B01">
    <w:pPr>
      <w:spacing w:line="240" w:lineRule="auto"/>
      <w:rPr>
        <w:rFonts w:ascii="Arial" w:hAnsi="Arial" w:cs="Arial"/>
        <w:sz w:val="24"/>
        <w:szCs w:val="24"/>
      </w:rPr>
    </w:pPr>
    <w:bookmarkStart w:id="2" w:name="_Hlk101356949"/>
    <w:bookmarkStart w:id="3" w:name="_Hlk101356950"/>
    <w:r w:rsidRPr="0038618A">
      <w:rPr>
        <w:rFonts w:ascii="Arial" w:hAnsi="Arial" w:cs="Arial"/>
        <w:sz w:val="24"/>
        <w:szCs w:val="24"/>
      </w:rPr>
      <w:t>Enclosure 4</w:t>
    </w:r>
    <w:r w:rsidR="009261F6">
      <w:rPr>
        <w:rFonts w:ascii="Arial" w:hAnsi="Arial" w:cs="Arial"/>
        <w:sz w:val="24"/>
        <w:szCs w:val="24"/>
      </w:rPr>
      <w:t>a</w:t>
    </w:r>
    <w:r w:rsidR="00E34572" w:rsidRPr="0038618A">
      <w:rPr>
        <w:rFonts w:ascii="Arial" w:hAnsi="Arial" w:cs="Arial"/>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1B2508D7" w:rsidR="00535681" w:rsidRDefault="00982DC4"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Residential Provider - Remediation Plan</w:t>
    </w:r>
    <w:bookmarkEnd w:id="2"/>
    <w:bookmarkEnd w:id="3"/>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691354">
    <w:abstractNumId w:val="4"/>
  </w:num>
  <w:num w:numId="2" w16cid:durableId="612134326">
    <w:abstractNumId w:val="0"/>
  </w:num>
  <w:num w:numId="3" w16cid:durableId="683091460">
    <w:abstractNumId w:val="3"/>
  </w:num>
  <w:num w:numId="4" w16cid:durableId="478225582">
    <w:abstractNumId w:val="2"/>
  </w:num>
  <w:num w:numId="5" w16cid:durableId="206328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02B1"/>
    <w:rsid w:val="000B027E"/>
    <w:rsid w:val="000B205C"/>
    <w:rsid w:val="000C01B3"/>
    <w:rsid w:val="0010403B"/>
    <w:rsid w:val="00114060"/>
    <w:rsid w:val="0011596A"/>
    <w:rsid w:val="001610DC"/>
    <w:rsid w:val="0016775E"/>
    <w:rsid w:val="001945BD"/>
    <w:rsid w:val="00197FB0"/>
    <w:rsid w:val="001D7E2A"/>
    <w:rsid w:val="00224A8E"/>
    <w:rsid w:val="00305AEB"/>
    <w:rsid w:val="00341F01"/>
    <w:rsid w:val="00381EA5"/>
    <w:rsid w:val="0038618A"/>
    <w:rsid w:val="003A1CB6"/>
    <w:rsid w:val="00452624"/>
    <w:rsid w:val="004573EE"/>
    <w:rsid w:val="004C6E6D"/>
    <w:rsid w:val="0051748A"/>
    <w:rsid w:val="00535681"/>
    <w:rsid w:val="005802D7"/>
    <w:rsid w:val="00595A4F"/>
    <w:rsid w:val="00602240"/>
    <w:rsid w:val="00602F91"/>
    <w:rsid w:val="0067347F"/>
    <w:rsid w:val="006801D1"/>
    <w:rsid w:val="006E5F7E"/>
    <w:rsid w:val="007D351C"/>
    <w:rsid w:val="00913B01"/>
    <w:rsid w:val="009261F6"/>
    <w:rsid w:val="00977343"/>
    <w:rsid w:val="00982DC4"/>
    <w:rsid w:val="009E22E9"/>
    <w:rsid w:val="00A15F89"/>
    <w:rsid w:val="00A26FC0"/>
    <w:rsid w:val="00A31193"/>
    <w:rsid w:val="00A7086E"/>
    <w:rsid w:val="00AD5185"/>
    <w:rsid w:val="00B0661E"/>
    <w:rsid w:val="00B71789"/>
    <w:rsid w:val="00B960BF"/>
    <w:rsid w:val="00BB7214"/>
    <w:rsid w:val="00C100F4"/>
    <w:rsid w:val="00C718E2"/>
    <w:rsid w:val="00CC450B"/>
    <w:rsid w:val="00CE191D"/>
    <w:rsid w:val="00D02F2E"/>
    <w:rsid w:val="00D172D8"/>
    <w:rsid w:val="00DB20F1"/>
    <w:rsid w:val="00E34572"/>
    <w:rsid w:val="00E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C718E2"/>
  </w:style>
  <w:style w:type="character" w:customStyle="1" w:styleId="eop">
    <w:name w:val="eop"/>
    <w:basedOn w:val="DefaultParagraphFont"/>
    <w:rsid w:val="00C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ED5A5-3702-47D5-8319-577722A9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Non Residential Provider</dc:title>
  <dc:subject/>
  <dc:creator>CA Department of Developmental Services</dc:creator>
  <cp:keywords/>
  <dc:description/>
  <cp:lastModifiedBy>Monica Mahon</cp:lastModifiedBy>
  <cp:revision>2</cp:revision>
  <dcterms:created xsi:type="dcterms:W3CDTF">2023-10-03T17:32:00Z</dcterms:created>
  <dcterms:modified xsi:type="dcterms:W3CDTF">2023-10-03T17:32:00Z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